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44CF" w14:textId="724E8281" w:rsidR="004B6CD1" w:rsidRDefault="002E6724" w:rsidP="00A27D0F">
      <w:pPr>
        <w:spacing w:before="120" w:after="80"/>
        <w:ind w:left="142" w:right="-27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*</w:t>
      </w:r>
      <w:r w:rsidR="00A96802">
        <w:rPr>
          <w:rFonts w:ascii="Arial" w:eastAsia="Arial" w:hAnsi="Arial" w:cs="Arial"/>
          <w:b/>
          <w:smallCaps/>
        </w:rPr>
        <w:t>УСЛОВИЯ ПОСТАВКИ</w:t>
      </w:r>
      <w:r w:rsidR="00DE56CC">
        <w:rPr>
          <w:rFonts w:ascii="Arial" w:eastAsia="Arial" w:hAnsi="Arial" w:cs="Arial"/>
          <w:b/>
          <w:smallCaps/>
        </w:rPr>
        <w:t xml:space="preserve"> НЕРУДНЫХ МАТЕРИАЛОВ</w:t>
      </w:r>
      <w:r w:rsidR="00A96802">
        <w:rPr>
          <w:rFonts w:ascii="Arial" w:eastAsia="Arial" w:hAnsi="Arial" w:cs="Arial"/>
          <w:b/>
          <w:smallCaps/>
        </w:rPr>
        <w:t xml:space="preserve"> </w:t>
      </w:r>
      <w:r w:rsidR="00A96802">
        <w:rPr>
          <w:rFonts w:ascii="Arial" w:eastAsia="Arial" w:hAnsi="Arial" w:cs="Arial"/>
          <w:b/>
        </w:rPr>
        <w:t>ВОДНЫМ ТРАНСПОРТОМ</w:t>
      </w:r>
    </w:p>
    <w:p w14:paraId="74A5E0F5" w14:textId="77777777" w:rsidR="002E6724" w:rsidRPr="002E6724" w:rsidRDefault="002E6724" w:rsidP="002E6724">
      <w:pPr>
        <w:jc w:val="center"/>
        <w:rPr>
          <w:rFonts w:ascii="Arial" w:hAnsi="Arial" w:cs="Arial"/>
          <w:b/>
          <w:sz w:val="20"/>
          <w:szCs w:val="20"/>
        </w:rPr>
      </w:pPr>
      <w:r w:rsidRPr="002E6724">
        <w:rPr>
          <w:rFonts w:ascii="Arial" w:hAnsi="Arial" w:cs="Arial"/>
          <w:b/>
          <w:sz w:val="20"/>
          <w:szCs w:val="20"/>
        </w:rPr>
        <w:t>Начало действия редакции: «16» апреля 2024 года</w:t>
      </w:r>
    </w:p>
    <w:p w14:paraId="1AB403A7" w14:textId="70D94076" w:rsidR="002E6724" w:rsidRPr="002E6724" w:rsidRDefault="002E6724" w:rsidP="002E6724">
      <w:pPr>
        <w:keepNext/>
        <w:keepLines/>
        <w:spacing w:before="480"/>
        <w:rPr>
          <w:rFonts w:ascii="Arial" w:hAnsi="Arial" w:cs="Arial"/>
          <w:b/>
          <w:smallCaps/>
          <w:color w:val="FF0000"/>
          <w:sz w:val="20"/>
          <w:szCs w:val="20"/>
        </w:rPr>
      </w:pPr>
      <w:r w:rsidRPr="002E6724">
        <w:rPr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b/>
          <w:color w:val="FF0000"/>
          <w:sz w:val="20"/>
          <w:szCs w:val="20"/>
        </w:rPr>
        <w:t>____</w:t>
      </w:r>
      <w:r w:rsidRPr="002E6724">
        <w:rPr>
          <w:rFonts w:ascii="Arial" w:hAnsi="Arial" w:cs="Arial"/>
          <w:b/>
          <w:color w:val="FF0000"/>
          <w:sz w:val="20"/>
          <w:szCs w:val="20"/>
        </w:rPr>
        <w:t>_____ * являются неотъемлемой частью Договора Поставки и ни при каких условиях не являются публичной офертой, определяемой положениями Статьи 437 Гражданского кодекса РФ. _____________________________________________________________________________________</w:t>
      </w:r>
    </w:p>
    <w:p w14:paraId="48F185C6" w14:textId="77777777" w:rsidR="002E6724" w:rsidRDefault="002E6724" w:rsidP="00A27D0F">
      <w:pPr>
        <w:spacing w:before="120" w:after="80"/>
        <w:ind w:left="142" w:right="-279"/>
        <w:jc w:val="center"/>
        <w:rPr>
          <w:rFonts w:ascii="Arial" w:eastAsia="Arial" w:hAnsi="Arial" w:cs="Arial"/>
          <w:b/>
        </w:rPr>
      </w:pPr>
    </w:p>
    <w:p w14:paraId="780575BD" w14:textId="77777777" w:rsidR="004B6CD1" w:rsidRPr="003A2BFD" w:rsidRDefault="002E6724" w:rsidP="003A2BFD">
      <w:pPr>
        <w:tabs>
          <w:tab w:val="num" w:pos="0"/>
        </w:tabs>
        <w:spacing w:after="120" w:line="240" w:lineRule="auto"/>
        <w:ind w:left="142" w:right="-279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pict w14:anchorId="56438BA3">
          <v:shape id="image2.jpg" o:spid="_x0000_i1027" type="#_x0000_t75" style="width:23.5pt;height:14.5pt;visibility:visible;mso-wrap-style:square">
            <v:imagedata r:id="rId10" o:title=""/>
          </v:shape>
        </w:pict>
      </w:r>
      <w:r w:rsidR="00A96802" w:rsidRPr="0046778C">
        <w:rPr>
          <w:rFonts w:ascii="Arial" w:eastAsia="Arial" w:hAnsi="Arial" w:cs="Arial"/>
          <w:sz w:val="20"/>
          <w:szCs w:val="20"/>
        </w:rPr>
        <w:t xml:space="preserve">Настоящие </w:t>
      </w:r>
      <w:r w:rsidR="00A96802" w:rsidRPr="0046778C">
        <w:rPr>
          <w:rFonts w:ascii="Arial" w:eastAsia="Arial" w:hAnsi="Arial" w:cs="Arial"/>
          <w:smallCaps/>
          <w:sz w:val="20"/>
          <w:szCs w:val="20"/>
        </w:rPr>
        <w:t xml:space="preserve">УСЛОВИЯ ПОСТАВКИ </w:t>
      </w:r>
      <w:r w:rsidR="00ED23EF" w:rsidRPr="0046778C">
        <w:rPr>
          <w:rFonts w:ascii="Arial" w:eastAsia="Arial" w:hAnsi="Arial" w:cs="Arial"/>
          <w:smallCaps/>
          <w:sz w:val="20"/>
          <w:szCs w:val="20"/>
        </w:rPr>
        <w:t xml:space="preserve">НЕРУДНЫХ МАТЕРИАЛОВ </w:t>
      </w:r>
      <w:r w:rsidR="00A96802" w:rsidRPr="0046778C">
        <w:rPr>
          <w:rFonts w:ascii="Arial" w:eastAsia="Arial" w:hAnsi="Arial" w:cs="Arial"/>
          <w:sz w:val="20"/>
          <w:szCs w:val="20"/>
        </w:rPr>
        <w:t>ВОДНЫМ ТРАНСПОРТОМ</w:t>
      </w:r>
      <w:r w:rsidR="00A96802" w:rsidRPr="003A2BFD">
        <w:rPr>
          <w:rFonts w:ascii="Arial" w:eastAsia="Arial" w:hAnsi="Arial" w:cs="Arial"/>
          <w:sz w:val="20"/>
          <w:szCs w:val="20"/>
        </w:rPr>
        <w:t xml:space="preserve"> (далее по тексту «настоящие Условия») применяются только при доставке товара водным транспортом Поставщика (собственным или привлеченным) и/или водным транспортом Покупателя (собственным и/или привлеченным) (самовывоз).</w:t>
      </w:r>
    </w:p>
    <w:p w14:paraId="4EB96E06" w14:textId="4012C0C1" w:rsidR="00DE56CC" w:rsidRPr="00A27D0F" w:rsidRDefault="00DE56CC" w:rsidP="00A27D0F">
      <w:pPr>
        <w:tabs>
          <w:tab w:val="num" w:pos="0"/>
        </w:tabs>
        <w:spacing w:after="120" w:line="240" w:lineRule="auto"/>
        <w:ind w:left="142" w:right="-279"/>
        <w:jc w:val="both"/>
        <w:rPr>
          <w:rFonts w:ascii="Arial" w:eastAsia="Arial" w:hAnsi="Arial" w:cs="Arial"/>
          <w:sz w:val="20"/>
          <w:szCs w:val="20"/>
        </w:rPr>
      </w:pPr>
      <w:r w:rsidRPr="00A27D0F">
        <w:rPr>
          <w:rFonts w:ascii="Arial" w:eastAsia="Arial" w:hAnsi="Arial" w:cs="Arial"/>
          <w:sz w:val="20"/>
          <w:szCs w:val="20"/>
        </w:rPr>
        <w:t>Вес поставляемой продукции определяется по осадке судна согласно «</w:t>
      </w:r>
      <w:r w:rsidR="00796F2B">
        <w:rPr>
          <w:rFonts w:ascii="Arial" w:eastAsia="Arial" w:hAnsi="Arial" w:cs="Arial"/>
          <w:sz w:val="20"/>
          <w:szCs w:val="20"/>
        </w:rPr>
        <w:t>ГОСТ Р 59145-2020. Национальный стандарт Российской Федерации. Методы расчета веса груза по осадке судна»</w:t>
      </w:r>
      <w:r w:rsidRPr="00A27D0F">
        <w:rPr>
          <w:rFonts w:ascii="Arial" w:eastAsia="Arial" w:hAnsi="Arial" w:cs="Arial"/>
          <w:sz w:val="20"/>
          <w:szCs w:val="20"/>
        </w:rPr>
        <w:t>,</w:t>
      </w:r>
      <w:r w:rsidR="00796F2B">
        <w:rPr>
          <w:rFonts w:ascii="Arial" w:eastAsia="Arial" w:hAnsi="Arial" w:cs="Arial"/>
          <w:sz w:val="20"/>
          <w:szCs w:val="20"/>
        </w:rPr>
        <w:t xml:space="preserve"> утв. Приказом Росстандарта от 29.10.2020 г. № 984-ст.</w:t>
      </w:r>
    </w:p>
    <w:tbl>
      <w:tblPr>
        <w:tblStyle w:val="a5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8"/>
      </w:tblGrid>
      <w:tr w:rsidR="004B6CD1" w:rsidRPr="00A27D0F" w14:paraId="3F3EDD66" w14:textId="77777777" w:rsidTr="00A27D0F">
        <w:tc>
          <w:tcPr>
            <w:tcW w:w="9668" w:type="dxa"/>
          </w:tcPr>
          <w:p w14:paraId="3ABEB8DE" w14:textId="77777777" w:rsidR="004B6CD1" w:rsidRPr="00A27D0F" w:rsidRDefault="00A96802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27D0F">
              <w:rPr>
                <w:rFonts w:ascii="Arial" w:eastAsia="Arial" w:hAnsi="Arial" w:cs="Arial"/>
                <w:b/>
                <w:sz w:val="20"/>
                <w:szCs w:val="20"/>
              </w:rPr>
              <w:t xml:space="preserve"> 1.</w:t>
            </w:r>
            <w:r w:rsidRPr="00A27D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27D0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ОБЯЗАТЕЛЬСТВА И ОТВЕТСТВЕННОСТЬ ПОКУПАТЕЛЯ ПРИ ДОСТАВКЕ ТОВАРА </w:t>
            </w:r>
            <w:r w:rsidRPr="00A27D0F">
              <w:rPr>
                <w:rFonts w:ascii="Arial" w:eastAsia="Arial" w:hAnsi="Arial" w:cs="Arial"/>
                <w:b/>
                <w:sz w:val="20"/>
                <w:szCs w:val="20"/>
              </w:rPr>
              <w:t>ВОДНЫМ ТРАНСПОРТОМ ПОСТАВЩИКА (СОБСТВЕННЫЙ И/ИЛИ ПРИВЛЕЧЕННЫЙ)</w:t>
            </w:r>
          </w:p>
          <w:p w14:paraId="41C6EA93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Arial" w:hAnsi="Arial" w:cs="Arial"/>
                <w:sz w:val="20"/>
                <w:szCs w:val="20"/>
              </w:rPr>
              <w:t>1.1.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 Сталийное время (Нормы нахождения судна под грузовыми операциями) исчисляется в 24-часовых последовательных сутках или пропорционально суткам.</w:t>
            </w:r>
          </w:p>
          <w:p w14:paraId="0721DFA6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Arial" w:hAnsi="Arial" w:cs="Arial"/>
                <w:sz w:val="20"/>
                <w:szCs w:val="20"/>
              </w:rPr>
              <w:t xml:space="preserve">Покупатель указывает в </w:t>
            </w:r>
            <w:r w:rsidR="00DE56CC" w:rsidRPr="00A27D0F">
              <w:rPr>
                <w:rFonts w:ascii="Arial" w:eastAsia="Arial" w:hAnsi="Arial" w:cs="Arial"/>
                <w:sz w:val="20"/>
                <w:szCs w:val="20"/>
              </w:rPr>
              <w:t>Заказе установленную</w:t>
            </w:r>
            <w:r w:rsidRPr="00A27D0F">
              <w:rPr>
                <w:rFonts w:ascii="Arial" w:eastAsia="Arial" w:hAnsi="Arial" w:cs="Arial"/>
                <w:sz w:val="20"/>
                <w:szCs w:val="20"/>
              </w:rPr>
              <w:t xml:space="preserve"> норму нахождения судна под грузовыми операциями в порту выгрузки.  Поставщик вправе согласовать указанную в Заказе норму. В случае, если Покупатель не указал в Заказе норму нахождения судна под грузовыми операциями в порту выгрузки, то она определяется условиями договора Поставщика с компанией-перевозчиком и сообщается Покупателю по электронной почте до отгрузки Товара.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 Выходные и праздничные дни включаются. Время нахождения судна под обработкой в порту выгрузки нереверсивное. </w:t>
            </w:r>
          </w:p>
          <w:p w14:paraId="398D9967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1.2. Учет стояночного времени в пунктах выгрузки исчисляется с момента подачи Нотиса о готовности и согласно Акту выгрузки судна. </w:t>
            </w:r>
          </w:p>
          <w:p w14:paraId="0842E3CE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Расчет Сталийного времени ведется с момента подхода судна к причалу выгрузки, а в случае его занятости, с момента подхода судна к рейду причала выгрузки и подачи нотиса о готовности к грузовым операциям.  Нотис о готовности судна к выгрузке подается капитаном/агентом (по УКВ радиосвязи, телексу, телеграфу или иным способом) с момента подхода к причалу, а если причал занят, то по прибытию на рейд порта выгрузки. Нотис о Готовности должен быть принят независимо от того, находится ли судно у причала или нет.</w:t>
            </w:r>
          </w:p>
          <w:p w14:paraId="092A1215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1.3. Штраф за сверхнормативный простой судна под выгрузкой исчи</w:t>
            </w:r>
            <w:bookmarkStart w:id="1" w:name="_GoBack"/>
            <w:bookmarkEnd w:id="1"/>
            <w:r w:rsidRPr="00A27D0F">
              <w:rPr>
                <w:rFonts w:ascii="Arial" w:eastAsia="Times New Roman" w:hAnsi="Arial" w:cs="Arial"/>
                <w:sz w:val="20"/>
                <w:szCs w:val="20"/>
              </w:rPr>
              <w:t>сляется из расчета ставки демереджа, закрепленной в договоре с перевозчиком пропорционально времени суток. Штраф рассчитывается в соответствии с нотисом о готовности судна к производству грузовых работ и актом выгрузки. Покупатель обязан уплатить штраф Поставщику в течение 10 рабочих дней со дня получения претензии Поставщика.</w:t>
            </w:r>
          </w:p>
          <w:p w14:paraId="2E04649B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1.4. Покупатель обязуется произвести зачистку судов после выгрузки от остатков груза «под метлу», а в случае постановки судна на ряд последовательных рейсов под один и тот же груз по согласованию сторон зачистка трюмов может производиться «под грейфер».</w:t>
            </w:r>
          </w:p>
          <w:p w14:paraId="799451E4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1.5. В случае если Покупатель канцелирует абсолютно готовое к погрузке/выгрузке судно, Покупатель оплачивает все издержки Поставщика, вызванные с тем, что Покупатель не выполнил условия настоящего Договора по выгрузке судна. В издержки Поставщика включаются 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дисбурсментский счет, навигационные и другие сборы по рейсу от пункта выгрузки в предыдущем рейсе до пункта погрузки/выгрузки, а также расходы Поставщика в размере стоимости содержания судна в данном рейсе.</w:t>
            </w:r>
          </w:p>
          <w:p w14:paraId="4A1691E3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1.6. В случае повреждения судна или оборудования Поставщика при выгрузке груза, Покупатель организует ремонт своими силами и за свой счет. Покупатель обязан ремонтировать повреждения до окончания рейса, а повреждения, которые влияют на мореходность судна или его класс, до выхода судна из порта.  При этом время ремонта включается в общее время стоянки в пункте разгрузки.</w:t>
            </w:r>
          </w:p>
          <w:p w14:paraId="5EE78742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В случае, если Покупатель не имеет возможности устранить полученные повреждения, то Поставщик вправе устранить полученные повреждения в любом из пунктов в пути следования на свое усмотрение. В этом случае Покупатель возмещает все понесенные Поставщиком затраты. </w:t>
            </w:r>
          </w:p>
          <w:p w14:paraId="733CC7FD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1.7. Покупатель обязуется обеспечить своевременную полную безопасную выгрузку судна (за свой счет), при необходимости обеспечить сохранное крепление/раскрепление груза, подстилочными и сепарационными материалами своими силами, средствами и за свой счет. Допускается привлечение к указанным работам третьих лиц, при этом полную ответственность за действия третьих лиц несет Покупатель.</w:t>
            </w:r>
          </w:p>
          <w:p w14:paraId="7DD12D04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1.8. Покупатель обязуется обеспечить выгрузку судна во всегда доступном, безопасном порту/причале, а также предоставить акт траления акватории пункта выгрузки.</w:t>
            </w:r>
          </w:p>
          <w:p w14:paraId="5CB8F93F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1.9. Покупатель совместно с подачей Заказа предоставляет акт траления акватории причала в порту выгрузки, выполненного соответствующей организацией.</w:t>
            </w:r>
          </w:p>
        </w:tc>
      </w:tr>
    </w:tbl>
    <w:p w14:paraId="69C06107" w14:textId="77777777" w:rsidR="004B6CD1" w:rsidRPr="00A27D0F" w:rsidRDefault="004B6CD1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4B6CD1" w:rsidRPr="00A27D0F" w14:paraId="16995540" w14:textId="77777777" w:rsidTr="00A27D0F">
        <w:tc>
          <w:tcPr>
            <w:tcW w:w="9639" w:type="dxa"/>
            <w:shd w:val="clear" w:color="auto" w:fill="auto"/>
          </w:tcPr>
          <w:p w14:paraId="1457349E" w14:textId="77777777" w:rsidR="004B6CD1" w:rsidRPr="00A27D0F" w:rsidRDefault="00A96802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27D0F">
              <w:rPr>
                <w:rFonts w:ascii="Arial" w:eastAsia="Arial" w:hAnsi="Arial" w:cs="Arial"/>
                <w:b/>
                <w:sz w:val="20"/>
                <w:szCs w:val="20"/>
              </w:rPr>
              <w:t xml:space="preserve"> 2. </w:t>
            </w:r>
            <w:r w:rsidRPr="00A27D0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ОБЯЗАТЕЛЬСТВА ПОСТАВЩИКА ПРИ ПОСТАВКЕ ТОВАРА СОБСТВЕННЫМ ИЛИ ПРИВЛЕЧЕННЫМ ВОДНЫМ ТРАНСПОРТОМ ПОКУПАТЕЛЯ (САМОВЫВОЗ)</w:t>
            </w:r>
            <w:r w:rsidRPr="00A27D0F">
              <w:rPr>
                <w:rFonts w:ascii="Arial" w:eastAsia="Arial" w:hAnsi="Arial" w:cs="Arial"/>
                <w:smallCaps/>
                <w:sz w:val="20"/>
                <w:szCs w:val="20"/>
              </w:rPr>
              <w:t>:</w:t>
            </w:r>
          </w:p>
          <w:p w14:paraId="708A5A87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2.1.  В случае перевозки Продукции судами Покупателя (перевозчиком, нанятым Покупателем) (самовывоз) Поставщик:</w:t>
            </w:r>
          </w:p>
          <w:p w14:paraId="06BFD1AD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- Обеспечивает безопасную стоянку судов Покупателя под обработкой, соблюдение Правил техники безопасности и Правил пожарной безопасности, соблюдение санитарных норм, исключающих </w:t>
            </w:r>
            <w:r w:rsidR="00DE56CC" w:rsidRPr="00A27D0F">
              <w:rPr>
                <w:rFonts w:ascii="Arial" w:eastAsia="Times New Roman" w:hAnsi="Arial" w:cs="Arial"/>
                <w:sz w:val="20"/>
                <w:szCs w:val="20"/>
              </w:rPr>
              <w:t>загрязнение окружающей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 среды, круглосуточную обработку судов (барж), включая выходные и праздничные дни;</w:t>
            </w:r>
          </w:p>
          <w:p w14:paraId="07DB8B3B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AE1D11"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По запросу Покупателя предоставляет акт траления акватории причала, выполненного соответствующей организацией;</w:t>
            </w:r>
          </w:p>
          <w:p w14:paraId="0C78FE73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- За свой счет осуществляет погрузку Продукции в суда Покупателя;</w:t>
            </w:r>
          </w:p>
          <w:p w14:paraId="18C6351B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- Несет риск случайной гибели или случайного повреждения продукции до момента ее фактического перехода через борт судна в порту погрузки;</w:t>
            </w:r>
          </w:p>
          <w:p w14:paraId="06F0108C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- Информирует Покупателя об отправке Продукции в его адрес;</w:t>
            </w:r>
          </w:p>
          <w:p w14:paraId="42B78621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- Несет ответственность за сверхнормативный простой флота под погрузкой и в ожидании грузовых работ согласно Кодексу ВВТ РФ.</w:t>
            </w:r>
          </w:p>
          <w:p w14:paraId="15A16D78" w14:textId="77777777" w:rsidR="00C3790A" w:rsidRPr="00C3790A" w:rsidRDefault="00C3790A" w:rsidP="00C3790A">
            <w:pPr>
              <w:shd w:val="clear" w:color="auto" w:fill="FFFFFF"/>
              <w:spacing w:after="0" w:line="253" w:lineRule="atLeast"/>
              <w:jc w:val="both"/>
              <w:rPr>
                <w:rFonts w:eastAsia="Times New Roman"/>
              </w:rPr>
            </w:pPr>
            <w:bookmarkStart w:id="2" w:name="_30j0zll" w:colFirst="0" w:colLast="0"/>
            <w:bookmarkEnd w:id="2"/>
            <w:r w:rsidRPr="00C3790A">
              <w:rPr>
                <w:rFonts w:ascii="Arial" w:eastAsia="Times New Roman" w:hAnsi="Arial" w:cs="Arial"/>
                <w:sz w:val="20"/>
                <w:szCs w:val="20"/>
              </w:rPr>
              <w:t>Учет стояночного времени в пункте погрузки ведется с момента подачи нотиса о готовности судна к грузовым операциям в соответствии с тайм шитом.</w:t>
            </w:r>
          </w:p>
          <w:p w14:paraId="6CF14106" w14:textId="77777777" w:rsidR="00C3790A" w:rsidRPr="00C3790A" w:rsidRDefault="00C3790A" w:rsidP="00C3790A">
            <w:pPr>
              <w:shd w:val="clear" w:color="auto" w:fill="FFFFFF"/>
              <w:spacing w:after="0" w:line="253" w:lineRule="atLeast"/>
              <w:jc w:val="both"/>
              <w:rPr>
                <w:rFonts w:eastAsia="Times New Roman"/>
              </w:rPr>
            </w:pPr>
            <w:r w:rsidRPr="00C3790A">
              <w:rPr>
                <w:rFonts w:ascii="Arial" w:eastAsia="Times New Roman" w:hAnsi="Arial" w:cs="Arial"/>
                <w:sz w:val="20"/>
                <w:szCs w:val="20"/>
              </w:rPr>
              <w:t>Из сталийного времени исключается:</w:t>
            </w:r>
          </w:p>
          <w:p w14:paraId="7E58785D" w14:textId="77777777" w:rsidR="00C3790A" w:rsidRPr="00C3790A" w:rsidRDefault="00C3790A" w:rsidP="00C3790A">
            <w:pPr>
              <w:shd w:val="clear" w:color="auto" w:fill="FFFFFF"/>
              <w:spacing w:after="0" w:line="253" w:lineRule="atLeast"/>
              <w:jc w:val="both"/>
              <w:rPr>
                <w:rFonts w:eastAsia="Times New Roman"/>
              </w:rPr>
            </w:pPr>
            <w:r w:rsidRPr="00C3790A">
              <w:rPr>
                <w:rFonts w:ascii="Arial" w:eastAsia="Times New Roman" w:hAnsi="Arial" w:cs="Arial"/>
                <w:sz w:val="20"/>
                <w:szCs w:val="20"/>
              </w:rPr>
              <w:t>- простой судна из-за технических неисправностей судна, препятствующих загрузке;</w:t>
            </w:r>
          </w:p>
          <w:p w14:paraId="230E8B49" w14:textId="77777777" w:rsidR="00C3790A" w:rsidRPr="00C3790A" w:rsidRDefault="00C3790A" w:rsidP="00C3790A">
            <w:pPr>
              <w:shd w:val="clear" w:color="auto" w:fill="FFFFFF"/>
              <w:spacing w:after="0" w:line="253" w:lineRule="atLeast"/>
              <w:jc w:val="both"/>
              <w:rPr>
                <w:rFonts w:eastAsia="Times New Roman"/>
              </w:rPr>
            </w:pPr>
            <w:r w:rsidRPr="00C3790A">
              <w:rPr>
                <w:rFonts w:ascii="Arial" w:eastAsia="Times New Roman" w:hAnsi="Arial" w:cs="Arial"/>
                <w:sz w:val="20"/>
                <w:szCs w:val="20"/>
              </w:rPr>
              <w:t>- простой судна из-за состояния судна, не пригодном для перевозки Товара, в том числе время на зачистку;</w:t>
            </w:r>
          </w:p>
          <w:p w14:paraId="000240F9" w14:textId="77777777" w:rsidR="00C3790A" w:rsidRPr="00C3790A" w:rsidRDefault="00C3790A" w:rsidP="00C3790A">
            <w:pPr>
              <w:spacing w:after="0" w:line="253" w:lineRule="atLeast"/>
              <w:jc w:val="both"/>
              <w:rPr>
                <w:rFonts w:eastAsia="Times New Roman"/>
                <w:shd w:val="clear" w:color="auto" w:fill="FFFFFF"/>
              </w:rPr>
            </w:pPr>
            <w:r w:rsidRPr="00C3790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 время вынужденного простоя судна по метеорологическим условиям, при которых невозможны погрузка/выгрузка судна (при скорости ветра более 15 м/сек);</w:t>
            </w:r>
          </w:p>
          <w:p w14:paraId="71832E93" w14:textId="77777777" w:rsidR="00C3790A" w:rsidRPr="00C3790A" w:rsidRDefault="00C3790A" w:rsidP="00C3790A">
            <w:pPr>
              <w:spacing w:after="0" w:line="253" w:lineRule="atLeast"/>
              <w:jc w:val="both"/>
              <w:rPr>
                <w:rFonts w:eastAsia="Times New Roman"/>
                <w:shd w:val="clear" w:color="auto" w:fill="FFFFFF"/>
              </w:rPr>
            </w:pPr>
            <w:r w:rsidRPr="00C3790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 время на откачку балласта.</w:t>
            </w:r>
          </w:p>
          <w:p w14:paraId="509EBE5B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Нормативное время погрузки определяется в соответствии с судо-часовыми нормами загрузки-разгрузки судов, которые составляют:</w:t>
            </w:r>
          </w:p>
          <w:p w14:paraId="74F9818C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 Для судов второго типа:</w:t>
            </w:r>
          </w:p>
          <w:p w14:paraId="22EBC58E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*грузоподъемностью до 1900 т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он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н – 163 т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он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н/час;</w:t>
            </w:r>
          </w:p>
          <w:p w14:paraId="4A06AF6D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*грузоподъемностью свыше 1 901 – 3 000 тонн – 154 т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/час;</w:t>
            </w:r>
          </w:p>
          <w:p w14:paraId="7D84D670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* грузоподъемностью свыше 3 000 тонн – 187 т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/час;</w:t>
            </w:r>
          </w:p>
          <w:p w14:paraId="6C2391D4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Для судов третьего типа:</w:t>
            </w:r>
          </w:p>
          <w:p w14:paraId="2B9E57B2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* грузоподъемностью свыше 2 902 – 3 000 тонн – 123 т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он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н/час</w:t>
            </w:r>
            <w:r w:rsidR="00AE1D11" w:rsidRPr="00A27D0F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4970DDE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* грузоподъемностью свыше 3 000 тонн – 150 т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/час.</w:t>
            </w:r>
          </w:p>
          <w:p w14:paraId="61FC056B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Грузовые операции в пунктах погрузки производятся круглосуточно, выходные и праздничные дни из нормативного времени не исключаются.</w:t>
            </w:r>
          </w:p>
          <w:p w14:paraId="1C68B8CF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- Гарантирует, что погрузка будет производиться на причалах с достаточными глубинами и безопасных для подхода и отхода судов;</w:t>
            </w:r>
          </w:p>
          <w:p w14:paraId="788695FE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- В случае повреждения судов или их оборудования по вине Поставщика, обязуется произвести своими силами, средствами и за свой счет необходимый ремонт. При этом время ремонта включается в общее время стоянки в пункте погрузки.</w:t>
            </w:r>
          </w:p>
          <w:p w14:paraId="5E352556" w14:textId="5D192C0B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2.2. Покупатель обязуется ежедневно до 12:00 предоставлять Поставщику дислокацию </w:t>
            </w:r>
            <w:r w:rsidR="00AE1D11" w:rsidRPr="00A27D0F">
              <w:rPr>
                <w:rFonts w:ascii="Arial" w:eastAsia="Times New Roman" w:hAnsi="Arial" w:cs="Arial"/>
                <w:sz w:val="20"/>
                <w:szCs w:val="20"/>
              </w:rPr>
              <w:t>судов,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 следующих на погрузку с указанием даты и времени прибытия в порт погрузки. Информация предоставляется на электронную почту </w:t>
            </w:r>
            <w:hyperlink r:id="rId11" w:history="1">
              <w:r w:rsidRPr="00A27D0F">
                <w:rPr>
                  <w:rFonts w:ascii="Arial" w:eastAsia="Times New Roman" w:hAnsi="Arial" w:cs="Arial"/>
                  <w:sz w:val="20"/>
                  <w:szCs w:val="20"/>
                </w:rPr>
                <w:t>evgeny.soldatov@</w:t>
              </w:r>
              <w:r w:rsidR="00CB3CF0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t>cementum</w:t>
              </w:r>
              <w:r w:rsidRPr="00A27D0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  <w:r w:rsidR="00CB3CF0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37E63C05" w14:textId="77777777" w:rsidR="004B6CD1" w:rsidRPr="00A27D0F" w:rsidRDefault="00A9680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7D0F">
              <w:rPr>
                <w:rFonts w:ascii="Arial" w:eastAsia="Times New Roman" w:hAnsi="Arial" w:cs="Arial"/>
                <w:sz w:val="20"/>
                <w:szCs w:val="20"/>
              </w:rPr>
              <w:t>В случае отсутствия информирования поставщика о месте нахождения судна и даты прибытия на погрузку, если на момент прибытия суд</w:t>
            </w:r>
            <w:r w:rsidR="00236886">
              <w:rPr>
                <w:rFonts w:ascii="Arial" w:eastAsia="Times New Roman" w:hAnsi="Arial" w:cs="Arial"/>
                <w:sz w:val="20"/>
                <w:szCs w:val="20"/>
              </w:rPr>
              <w:t>на причал будет занят, то учет С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талийного времени поставщиком будет принят </w:t>
            </w:r>
            <w:r w:rsidR="00AE1D11" w:rsidRPr="00A27D0F">
              <w:rPr>
                <w:rFonts w:ascii="Arial" w:eastAsia="Times New Roman" w:hAnsi="Arial" w:cs="Arial"/>
                <w:sz w:val="20"/>
                <w:szCs w:val="20"/>
              </w:rPr>
              <w:t>с момента</w:t>
            </w:r>
            <w:r w:rsidRPr="00A27D0F">
              <w:rPr>
                <w:rFonts w:ascii="Arial" w:eastAsia="Times New Roman" w:hAnsi="Arial" w:cs="Arial"/>
                <w:sz w:val="20"/>
                <w:szCs w:val="20"/>
              </w:rPr>
              <w:t xml:space="preserve"> фактической постановки судна к причалу. </w:t>
            </w:r>
          </w:p>
        </w:tc>
      </w:tr>
    </w:tbl>
    <w:p w14:paraId="13682C07" w14:textId="77777777" w:rsidR="004B6CD1" w:rsidRPr="00A27D0F" w:rsidRDefault="004B6CD1">
      <w:pPr>
        <w:shd w:val="clear" w:color="auto" w:fill="FFFFFF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6DCFBA" w14:textId="77777777" w:rsidR="004B6CD1" w:rsidRPr="00A27D0F" w:rsidRDefault="004B6CD1">
      <w:pPr>
        <w:shd w:val="clear" w:color="auto" w:fill="FFFFFF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C6DB79" w14:textId="77777777" w:rsidR="004B6CD1" w:rsidRPr="00A27D0F" w:rsidRDefault="004B6CD1">
      <w:pPr>
        <w:shd w:val="clear" w:color="auto" w:fill="FFFFFF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38"/>
        <w:gridCol w:w="4737"/>
      </w:tblGrid>
      <w:tr w:rsidR="004633C2" w:rsidRPr="00F1196C" w14:paraId="6A38DD5B" w14:textId="77777777" w:rsidTr="00972FBA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40BB3507" w14:textId="37B7307F" w:rsidR="004633C2" w:rsidRPr="0002390E" w:rsidRDefault="004633C2" w:rsidP="00972FBA">
            <w:pPr>
              <w:rPr>
                <w:rFonts w:ascii="Arial" w:hAnsi="Arial" w:cs="Arial"/>
                <w:b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07B6E08" w14:textId="2345616C" w:rsidR="004633C2" w:rsidRPr="0002390E" w:rsidRDefault="004633C2" w:rsidP="0097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633C2" w:rsidRPr="00F1196C" w14:paraId="4FA55984" w14:textId="77777777" w:rsidTr="00972FBA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27DF5066" w14:textId="7B6C7847" w:rsidR="004633C2" w:rsidRPr="00E8400E" w:rsidRDefault="004633C2" w:rsidP="0097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CD69880" w14:textId="09CC3DD3" w:rsidR="004633C2" w:rsidRPr="00E8400E" w:rsidRDefault="004633C2" w:rsidP="0097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567EFE7" w14:textId="77777777" w:rsidR="004633C2" w:rsidRPr="00A27D0F" w:rsidRDefault="004633C2" w:rsidP="004633C2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F6B2751" w14:textId="77777777" w:rsidR="004B6CD1" w:rsidRPr="00A27D0F" w:rsidRDefault="004B6CD1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4B6CD1" w:rsidRPr="00A27D0F" w:rsidSect="00A27D0F">
      <w:pgSz w:w="12240" w:h="15840"/>
      <w:pgMar w:top="1440" w:right="132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3DC1" w14:textId="77777777" w:rsidR="00AB398C" w:rsidRDefault="00AB398C" w:rsidP="00C8059A">
      <w:pPr>
        <w:spacing w:after="0" w:line="240" w:lineRule="auto"/>
      </w:pPr>
      <w:r>
        <w:separator/>
      </w:r>
    </w:p>
  </w:endnote>
  <w:endnote w:type="continuationSeparator" w:id="0">
    <w:p w14:paraId="6CA18BB5" w14:textId="77777777" w:rsidR="00AB398C" w:rsidRDefault="00AB398C" w:rsidP="00C8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5BF5" w14:textId="77777777" w:rsidR="00AB398C" w:rsidRDefault="00AB398C" w:rsidP="00C8059A">
      <w:pPr>
        <w:spacing w:after="0" w:line="240" w:lineRule="auto"/>
      </w:pPr>
      <w:r>
        <w:separator/>
      </w:r>
    </w:p>
  </w:footnote>
  <w:footnote w:type="continuationSeparator" w:id="0">
    <w:p w14:paraId="5C569E3F" w14:textId="77777777" w:rsidR="00AB398C" w:rsidRDefault="00AB398C" w:rsidP="00C8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3.5pt;height:33pt;visibility:visible;mso-wrap-style:square" o:bullet="t">
        <v:imagedata r:id="rId1" o:title=""/>
      </v:shape>
    </w:pict>
  </w:numPicBullet>
  <w:numPicBullet w:numPicBulletId="1">
    <w:pict>
      <v:shape id="_x0000_i1033" type="#_x0000_t75" style="width:53pt;height:33pt;visibility:visible;mso-wrap-style:square" o:bullet="t">
        <v:imagedata r:id="rId2" o:title=""/>
      </v:shape>
    </w:pict>
  </w:numPicBullet>
  <w:abstractNum w:abstractNumId="0" w15:restartNumberingAfterBreak="0">
    <w:nsid w:val="151869FF"/>
    <w:multiLevelType w:val="hybridMultilevel"/>
    <w:tmpl w:val="43465702"/>
    <w:lvl w:ilvl="0" w:tplc="70365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45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23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E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A5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C4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C0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CB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E1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D1"/>
    <w:rsid w:val="00031173"/>
    <w:rsid w:val="00123F6F"/>
    <w:rsid w:val="001E3AF4"/>
    <w:rsid w:val="00236886"/>
    <w:rsid w:val="0029713E"/>
    <w:rsid w:val="002E6724"/>
    <w:rsid w:val="0035468C"/>
    <w:rsid w:val="00373258"/>
    <w:rsid w:val="003A2BFD"/>
    <w:rsid w:val="003F2C90"/>
    <w:rsid w:val="004633C2"/>
    <w:rsid w:val="0046778C"/>
    <w:rsid w:val="00472A4A"/>
    <w:rsid w:val="004B6CD1"/>
    <w:rsid w:val="005B70BA"/>
    <w:rsid w:val="005D59D6"/>
    <w:rsid w:val="00794541"/>
    <w:rsid w:val="00796F2B"/>
    <w:rsid w:val="00950CA0"/>
    <w:rsid w:val="00A27D0F"/>
    <w:rsid w:val="00A861B2"/>
    <w:rsid w:val="00A90DEC"/>
    <w:rsid w:val="00A96802"/>
    <w:rsid w:val="00AB398C"/>
    <w:rsid w:val="00AE1D11"/>
    <w:rsid w:val="00C3790A"/>
    <w:rsid w:val="00C8059A"/>
    <w:rsid w:val="00CB3CF0"/>
    <w:rsid w:val="00D42E18"/>
    <w:rsid w:val="00DE56CC"/>
    <w:rsid w:val="00E74424"/>
    <w:rsid w:val="00EB11F9"/>
    <w:rsid w:val="00ED23EF"/>
    <w:rsid w:val="00FD0BA5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E9D"/>
  <w15:docId w15:val="{1E46BDFB-E8EE-479D-AC39-644D668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List Paragraph"/>
    <w:basedOn w:val="a"/>
    <w:uiPriority w:val="34"/>
    <w:qFormat/>
    <w:rsid w:val="00DE56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E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6CC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E56CC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C8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059A"/>
  </w:style>
  <w:style w:type="paragraph" w:styleId="af0">
    <w:name w:val="footer"/>
    <w:basedOn w:val="a"/>
    <w:link w:val="af1"/>
    <w:uiPriority w:val="99"/>
    <w:unhideWhenUsed/>
    <w:rsid w:val="00C8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059A"/>
  </w:style>
  <w:style w:type="table" w:styleId="af2">
    <w:name w:val="Table Grid"/>
    <w:basedOn w:val="a1"/>
    <w:uiPriority w:val="59"/>
    <w:rsid w:val="00C805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796F2B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796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geny.soldatov@lafargeholcim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5CE8429CE9F48981BB8EEA9FBE206" ma:contentTypeVersion="0" ma:contentTypeDescription="Создание документа." ma:contentTypeScope="" ma:versionID="45b48a1a0d915dea6ae4d6c6de1b19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0191D-B424-4795-97BD-16671BBB3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E303D-BCD9-4376-AD1C-CBD27E53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8CF-A131-434D-A9C6-D5E4FE322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Nadezhda Lukashenko</dc:creator>
  <cp:lastModifiedBy>Yuliya Mityashova</cp:lastModifiedBy>
  <cp:revision>4</cp:revision>
  <cp:lastPrinted>2019-12-03T12:55:00Z</cp:lastPrinted>
  <dcterms:created xsi:type="dcterms:W3CDTF">2024-03-14T10:00:00Z</dcterms:created>
  <dcterms:modified xsi:type="dcterms:W3CDTF">2024-04-13T17:34:00Z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0x0101008B45CE8429CE9F48981BB8EEA9FBE206</vt:lpwstr>
  </property>
</Properties>
</file>